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7973" w14:textId="24E96911" w:rsidR="00B42E60" w:rsidRPr="00681C05" w:rsidRDefault="00AE64FB" w:rsidP="00D9737E">
      <w:pPr>
        <w:pStyle w:val="a4"/>
        <w:spacing w:before="0"/>
        <w:ind w:left="57" w:right="0"/>
        <w:rPr>
          <w:rFonts w:ascii="游ゴシック Light" w:eastAsia="游ゴシック Light" w:hAnsi="游ゴシック Light"/>
          <w:b/>
        </w:rPr>
      </w:pPr>
      <w:r>
        <w:rPr>
          <w:rFonts w:ascii="游ゴシック Light" w:eastAsia="游ゴシック Light" w:hAnsi="游ゴシック Light"/>
          <w:b/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531F54A7" wp14:editId="0411AED6">
                <wp:simplePos x="0" y="0"/>
                <wp:positionH relativeFrom="column">
                  <wp:posOffset>-632778</wp:posOffset>
                </wp:positionH>
                <wp:positionV relativeFrom="paragraph">
                  <wp:posOffset>-569278</wp:posOffset>
                </wp:positionV>
                <wp:extent cx="7560309" cy="10692130"/>
                <wp:effectExtent l="0" t="0" r="22225" b="13970"/>
                <wp:wrapNone/>
                <wp:docPr id="86294054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44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87E0" id="Graphic 3" o:spid="_x0000_s1026" style="position:absolute;margin-left:-49.85pt;margin-top:-44.85pt;width:595.3pt;height:841.9pt;z-index:-1583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" path="m7559992,10692003l,10692003,,,7559992,r,10692003xe" filled="f" strokecolor="#231f20" strokeweight=".1234mm">
                <v:path arrowok="t"/>
              </v:shape>
            </w:pict>
          </mc:Fallback>
        </mc:AlternateContent>
      </w:r>
      <w:bookmarkStart w:id="0" w:name="p13-第3章"/>
      <w:bookmarkEnd w:id="0"/>
      <w:r w:rsidR="00000000" w:rsidRPr="00681C05">
        <w:rPr>
          <w:rFonts w:ascii="游ゴシック Light" w:eastAsia="游ゴシック Light" w:hAnsi="游ゴシック Light"/>
          <w:b/>
          <w:color w:val="F36F21"/>
          <w:spacing w:val="-67"/>
        </w:rPr>
        <w:t>チェックリスト</w:t>
      </w:r>
    </w:p>
    <w:tbl>
      <w:tblPr>
        <w:tblStyle w:val="TableNormal"/>
        <w:tblW w:w="0" w:type="auto"/>
        <w:tblInd w:w="15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778"/>
        <w:gridCol w:w="1618"/>
        <w:gridCol w:w="1618"/>
      </w:tblGrid>
      <w:tr w:rsidR="00B42E60" w14:paraId="6BF97978" w14:textId="77777777">
        <w:trPr>
          <w:trHeight w:val="563"/>
        </w:trPr>
        <w:tc>
          <w:tcPr>
            <w:tcW w:w="625" w:type="dxa"/>
            <w:tcBorders>
              <w:bottom w:val="single" w:sz="8" w:space="0" w:color="231F20"/>
              <w:right w:val="single" w:sz="8" w:space="0" w:color="231F20"/>
            </w:tcBorders>
          </w:tcPr>
          <w:p w14:paraId="6BF97974" w14:textId="77777777" w:rsidR="00B42E60" w:rsidRPr="009D3376" w:rsidRDefault="00000000">
            <w:pPr>
              <w:pStyle w:val="TableParagraph"/>
              <w:spacing w:before="232"/>
              <w:ind w:left="39" w:right="40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5"/>
                <w:w w:val="125"/>
                <w:sz w:val="20"/>
              </w:rPr>
              <w:t>No</w:t>
            </w:r>
          </w:p>
        </w:tc>
        <w:tc>
          <w:tcPr>
            <w:tcW w:w="577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75" w14:textId="77777777" w:rsidR="00B42E60" w:rsidRPr="009D3376" w:rsidRDefault="00000000">
            <w:pPr>
              <w:pStyle w:val="TableParagraph"/>
              <w:spacing w:before="161"/>
              <w:ind w:right="358"/>
              <w:jc w:val="center"/>
              <w:rPr>
                <w:rFonts w:ascii="游ゴシック Light" w:eastAsia="游ゴシック Light" w:hAnsi="游ゴシック Light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5"/>
              </w:rPr>
              <w:t>チェック事項</w:t>
            </w:r>
          </w:p>
        </w:tc>
        <w:tc>
          <w:tcPr>
            <w:tcW w:w="161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76" w14:textId="77777777" w:rsidR="00B42E60" w:rsidRPr="009D3376" w:rsidRDefault="00000000" w:rsidP="00DA7030">
            <w:pPr>
              <w:pStyle w:val="TableParagraph"/>
              <w:spacing w:beforeLines="50" w:before="120" w:line="470" w:lineRule="exact"/>
              <w:ind w:left="629"/>
              <w:rPr>
                <w:rFonts w:ascii="游ゴシック Light" w:eastAsia="游ゴシック Light" w:hAnsi="游ゴシック Light"/>
                <w:sz w:val="44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44"/>
              </w:rPr>
              <w:t>○</w:t>
            </w:r>
          </w:p>
        </w:tc>
        <w:tc>
          <w:tcPr>
            <w:tcW w:w="1618" w:type="dxa"/>
            <w:tcBorders>
              <w:left w:val="single" w:sz="8" w:space="0" w:color="231F20"/>
              <w:bottom w:val="single" w:sz="8" w:space="0" w:color="231F20"/>
            </w:tcBorders>
          </w:tcPr>
          <w:p w14:paraId="6BF97977" w14:textId="19BEC5F2" w:rsidR="00B42E60" w:rsidRPr="009D3376" w:rsidRDefault="00DA7030" w:rsidP="00DA7030">
            <w:pPr>
              <w:pStyle w:val="TableParagraph"/>
              <w:spacing w:beforeLines="50" w:before="120" w:line="507" w:lineRule="exact"/>
              <w:ind w:left="85" w:right="11"/>
              <w:jc w:val="center"/>
              <w:rPr>
                <w:rFonts w:ascii="游ゴシック Light" w:eastAsia="游ゴシック Light" w:hAnsi="游ゴシック Light" w:hint="eastAsia"/>
                <w:sz w:val="48"/>
              </w:rPr>
            </w:pPr>
            <w:r>
              <w:rPr>
                <w:rFonts w:ascii="游ゴシック Light" w:eastAsia="游ゴシック Light" w:hAnsi="游ゴシック Light" w:hint="eastAsia"/>
                <w:sz w:val="48"/>
              </w:rPr>
              <w:t>×</w:t>
            </w:r>
          </w:p>
        </w:tc>
      </w:tr>
      <w:tr w:rsidR="00B42E60" w14:paraId="6BF97981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79" w14:textId="77777777" w:rsidR="00B42E60" w:rsidRPr="009D3376" w:rsidRDefault="00000000" w:rsidP="00F21DCC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1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7A" w14:textId="77777777" w:rsidR="00B42E60" w:rsidRPr="009D3376" w:rsidRDefault="00000000" w:rsidP="00EA775A">
            <w:pPr>
              <w:pStyle w:val="TableParagraph"/>
              <w:spacing w:before="240"/>
              <w:ind w:left="181" w:right="125" w:firstLine="6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2"/>
                <w:sz w:val="26"/>
              </w:rPr>
              <w:t>不妊治療と仕事との両立に関する企業の方針</w:t>
            </w:r>
            <w:r w:rsidRPr="009D3376">
              <w:rPr>
                <w:rFonts w:ascii="游ゴシック Light" w:eastAsia="游ゴシック Light" w:hAnsi="游ゴシック Light"/>
                <w:color w:val="231F20"/>
                <w:sz w:val="26"/>
              </w:rPr>
              <w:t>を企業トップが社内に周知している。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7B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7C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7D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7E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7F" w14:textId="77777777" w:rsidR="00B42E60" w:rsidRPr="009D3376" w:rsidRDefault="00B42E60">
            <w:pPr>
              <w:pStyle w:val="TableParagraph"/>
              <w:spacing w:before="9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80" w14:textId="77777777" w:rsidR="00B42E60" w:rsidRPr="009D3376" w:rsidRDefault="00000000" w:rsidP="00720DAA">
            <w:pPr>
              <w:pStyle w:val="TableParagraph"/>
              <w:spacing w:after="20"/>
              <w:ind w:left="85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→ステップ1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89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82" w14:textId="77777777" w:rsidR="00B42E60" w:rsidRPr="009D3376" w:rsidRDefault="00000000" w:rsidP="00F21DCC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2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83" w14:textId="77777777" w:rsidR="00B42E60" w:rsidRPr="009D3376" w:rsidRDefault="00000000" w:rsidP="00720DAA">
            <w:pPr>
              <w:pStyle w:val="TableParagraph"/>
              <w:spacing w:before="240"/>
              <w:ind w:left="181" w:right="465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z w:val="26"/>
              </w:rPr>
              <w:t xml:space="preserve">不妊治療と仕事との両立を支援する担当者 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2"/>
                <w:sz w:val="26"/>
              </w:rPr>
              <w:t>(担当部門)が決まっている。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84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85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86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87" w14:textId="77777777" w:rsidR="00B42E60" w:rsidRPr="009D3376" w:rsidRDefault="00B42E60">
            <w:pPr>
              <w:pStyle w:val="TableParagraph"/>
              <w:spacing w:before="256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88" w14:textId="77777777" w:rsidR="00B42E60" w:rsidRPr="009D3376" w:rsidRDefault="00000000">
            <w:pPr>
              <w:pStyle w:val="TableParagraph"/>
              <w:spacing w:before="1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→ステップ1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91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8A" w14:textId="77777777" w:rsidR="00B42E60" w:rsidRPr="009D3376" w:rsidRDefault="00000000" w:rsidP="00F21DCC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8B" w14:textId="77777777" w:rsidR="00B42E60" w:rsidRPr="009D3376" w:rsidRDefault="00000000" w:rsidP="00720DAA">
            <w:pPr>
              <w:pStyle w:val="TableParagraph"/>
              <w:spacing w:before="240"/>
              <w:ind w:left="181" w:right="493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15"/>
                <w:sz w:val="26"/>
              </w:rPr>
              <w:t>不妊治療と仕事との両立に関する社内の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26"/>
              </w:rPr>
              <w:t>ニーズ、社外の動き等を把握している。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8C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8D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8E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8F" w14:textId="77777777" w:rsidR="00B42E60" w:rsidRPr="009D3376" w:rsidRDefault="00B42E60">
            <w:pPr>
              <w:pStyle w:val="TableParagraph"/>
              <w:spacing w:before="254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90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→ステップ2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99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92" w14:textId="77777777" w:rsidR="00B42E60" w:rsidRPr="009D3376" w:rsidRDefault="00000000" w:rsidP="00F21DCC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4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93" w14:textId="77777777" w:rsidR="00B42E60" w:rsidRPr="009D3376" w:rsidRDefault="00000000" w:rsidP="00720DAA">
            <w:pPr>
              <w:pStyle w:val="TableParagraph"/>
              <w:spacing w:before="240"/>
              <w:ind w:left="181" w:right="119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5"/>
                <w:sz w:val="26"/>
              </w:rPr>
              <w:t>不妊治療と仕事との両立に関し、利用可能な</w:t>
            </w:r>
            <w:r w:rsidRPr="009D3376">
              <w:rPr>
                <w:rFonts w:ascii="游ゴシック Light" w:eastAsia="游ゴシック Light" w:hAnsi="游ゴシック Light"/>
                <w:color w:val="231F20"/>
                <w:sz w:val="26"/>
              </w:rPr>
              <w:t>現行の社内制度について整理している。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94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95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96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97" w14:textId="77777777" w:rsidR="00B42E60" w:rsidRPr="009D3376" w:rsidRDefault="00B42E60">
            <w:pPr>
              <w:pStyle w:val="TableParagraph"/>
              <w:spacing w:before="251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98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→ステップ3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A1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9A" w14:textId="77777777" w:rsidR="00B42E60" w:rsidRPr="009D3376" w:rsidRDefault="00000000" w:rsidP="0026768A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5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9B" w14:textId="77777777" w:rsidR="00B42E60" w:rsidRPr="009D3376" w:rsidRDefault="00000000" w:rsidP="00720DAA">
            <w:pPr>
              <w:pStyle w:val="TableParagraph"/>
              <w:spacing w:before="240"/>
              <w:ind w:left="181" w:right="130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5"/>
                <w:sz w:val="26"/>
              </w:rPr>
              <w:t>不妊治療と仕事との両立に関し、社内で望ま</w:t>
            </w:r>
            <w:r w:rsidRPr="009D3376">
              <w:rPr>
                <w:rFonts w:ascii="游ゴシック Light" w:eastAsia="游ゴシック Light" w:hAnsi="游ゴシック Light"/>
                <w:color w:val="231F20"/>
                <w:sz w:val="26"/>
              </w:rPr>
              <w:t>れる制度や取組について検討している。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9C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9D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9E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9F" w14:textId="77777777" w:rsidR="00B42E60" w:rsidRPr="009D3376" w:rsidRDefault="00B42E60">
            <w:pPr>
              <w:pStyle w:val="TableParagraph"/>
              <w:spacing w:before="249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A0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→ステップ3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A9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A2" w14:textId="77777777" w:rsidR="00B42E60" w:rsidRPr="009D3376" w:rsidRDefault="00000000" w:rsidP="0026768A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6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A3" w14:textId="77777777" w:rsidR="00B42E60" w:rsidRPr="009D3376" w:rsidRDefault="00000000" w:rsidP="00720DAA">
            <w:pPr>
              <w:pStyle w:val="TableParagraph"/>
              <w:spacing w:before="240"/>
              <w:ind w:left="181" w:right="221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5"/>
                <w:sz w:val="26"/>
              </w:rPr>
              <w:t>不妊治療と仕事との両立に関し、利用可能な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1"/>
                <w:sz w:val="26"/>
              </w:rPr>
              <w:t>制度について社内に定期的に発信している。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A4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A5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A6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A7" w14:textId="77777777" w:rsidR="00B42E60" w:rsidRPr="009D3376" w:rsidRDefault="00B42E60">
            <w:pPr>
              <w:pStyle w:val="TableParagraph"/>
              <w:spacing w:before="246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A8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→ステップ4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B1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AA" w14:textId="77777777" w:rsidR="00B42E60" w:rsidRPr="009D3376" w:rsidRDefault="00000000" w:rsidP="0026768A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7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AB" w14:textId="77777777" w:rsidR="00B42E60" w:rsidRPr="009D3376" w:rsidRDefault="00000000" w:rsidP="00720DAA">
            <w:pPr>
              <w:pStyle w:val="TableParagraph"/>
              <w:spacing w:before="240"/>
              <w:ind w:left="181" w:right="284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12"/>
                <w:sz w:val="26"/>
              </w:rPr>
              <w:t>不妊治療と仕事との両立の推進について、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2"/>
                <w:sz w:val="26"/>
              </w:rPr>
              <w:t>社内研修等で啓発している。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AC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AD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AE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AF" w14:textId="77777777" w:rsidR="00B42E60" w:rsidRPr="009D3376" w:rsidRDefault="00B42E60">
            <w:pPr>
              <w:pStyle w:val="TableParagraph"/>
              <w:spacing w:before="244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B0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→ステップ4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B9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B2" w14:textId="77777777" w:rsidR="00B42E60" w:rsidRPr="009D3376" w:rsidRDefault="00000000" w:rsidP="0026768A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8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B3" w14:textId="77777777" w:rsidR="00B42E60" w:rsidRPr="009D3376" w:rsidRDefault="00000000" w:rsidP="00720DAA">
            <w:pPr>
              <w:pStyle w:val="TableParagraph"/>
              <w:spacing w:before="240"/>
              <w:ind w:left="181" w:right="125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4"/>
                <w:sz w:val="26"/>
              </w:rPr>
              <w:t>不妊治療と仕事との両立をしている人につい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26"/>
              </w:rPr>
              <w:t>て、ハラスメントの防止対策を講じている。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B4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B5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B6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B7" w14:textId="77777777" w:rsidR="00B42E60" w:rsidRPr="009D3376" w:rsidRDefault="00B42E60">
            <w:pPr>
              <w:pStyle w:val="TableParagraph"/>
              <w:spacing w:before="241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B8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→ステップ4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C2" w14:textId="77777777">
        <w:trPr>
          <w:trHeight w:val="1293"/>
        </w:trPr>
        <w:tc>
          <w:tcPr>
            <w:tcW w:w="62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BB" w14:textId="77777777" w:rsidR="00B42E60" w:rsidRPr="009D3376" w:rsidRDefault="00000000" w:rsidP="0026768A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10"/>
                <w:sz w:val="36"/>
              </w:rPr>
              <w:t>9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BC" w14:textId="77777777" w:rsidR="00B42E60" w:rsidRPr="009D3376" w:rsidRDefault="00000000" w:rsidP="00720DAA">
            <w:pPr>
              <w:pStyle w:val="TableParagraph"/>
              <w:spacing w:before="240"/>
              <w:ind w:left="181" w:right="119" w:firstLine="6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5"/>
                <w:sz w:val="26"/>
              </w:rPr>
              <w:t>不妊治療と仕事との両立に関する成果・実績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1"/>
                <w:sz w:val="26"/>
              </w:rPr>
              <w:t>や社内の評価を把握している。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F979BD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BF979BE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BF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C0" w14:textId="77777777" w:rsidR="00B42E60" w:rsidRPr="009D3376" w:rsidRDefault="00B42E60">
            <w:pPr>
              <w:pStyle w:val="TableParagraph"/>
              <w:spacing w:before="238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C1" w14:textId="77777777" w:rsidR="00B42E60" w:rsidRPr="009D3376" w:rsidRDefault="00000000">
            <w:pPr>
              <w:pStyle w:val="TableParagraph"/>
              <w:spacing w:before="1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→ステップ5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  <w:tr w:rsidR="00B42E60" w14:paraId="6BF979CB" w14:textId="77777777">
        <w:trPr>
          <w:trHeight w:val="1280"/>
        </w:trPr>
        <w:tc>
          <w:tcPr>
            <w:tcW w:w="625" w:type="dxa"/>
            <w:tcBorders>
              <w:top w:val="single" w:sz="8" w:space="0" w:color="231F20"/>
              <w:right w:val="single" w:sz="8" w:space="0" w:color="231F20"/>
            </w:tcBorders>
          </w:tcPr>
          <w:p w14:paraId="6BF979C4" w14:textId="77777777" w:rsidR="00B42E60" w:rsidRPr="009D3376" w:rsidRDefault="00000000" w:rsidP="0026768A">
            <w:pPr>
              <w:pStyle w:val="TableParagraph"/>
              <w:spacing w:before="360"/>
              <w:ind w:left="40"/>
              <w:jc w:val="center"/>
              <w:rPr>
                <w:rFonts w:ascii="游ゴシック Light" w:eastAsia="游ゴシック Light" w:hAnsi="游ゴシック Light"/>
                <w:sz w:val="3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5"/>
                <w:sz w:val="36"/>
              </w:rPr>
              <w:t>10</w:t>
            </w:r>
          </w:p>
        </w:tc>
        <w:tc>
          <w:tcPr>
            <w:tcW w:w="577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BF979C5" w14:textId="77777777" w:rsidR="00B42E60" w:rsidRPr="009D3376" w:rsidRDefault="00000000" w:rsidP="00720DAA">
            <w:pPr>
              <w:pStyle w:val="TableParagraph"/>
              <w:spacing w:before="240"/>
              <w:ind w:left="181" w:right="125" w:firstLine="6"/>
              <w:rPr>
                <w:rFonts w:ascii="游ゴシック Light" w:eastAsia="游ゴシック Light" w:hAnsi="游ゴシック Light"/>
                <w:sz w:val="2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3"/>
                <w:sz w:val="26"/>
              </w:rPr>
              <w:t>不妊治療と仕事との両立に際して生じる課題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3"/>
                <w:sz w:val="26"/>
              </w:rPr>
              <w:t>やその解決策等について、対応している。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BF979C6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</w:tcBorders>
          </w:tcPr>
          <w:p w14:paraId="6BF979C7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C8" w14:textId="77777777" w:rsidR="00B42E60" w:rsidRPr="009D3376" w:rsidRDefault="00B42E60">
            <w:pPr>
              <w:pStyle w:val="TableParagraph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C9" w14:textId="77777777" w:rsidR="00B42E60" w:rsidRPr="009D3376" w:rsidRDefault="00B42E60">
            <w:pPr>
              <w:pStyle w:val="TableParagraph"/>
              <w:spacing w:before="236"/>
              <w:rPr>
                <w:rFonts w:ascii="游ゴシック Light" w:eastAsia="游ゴシック Light" w:hAnsi="游ゴシック Light"/>
                <w:b/>
                <w:sz w:val="16"/>
              </w:rPr>
            </w:pPr>
          </w:p>
          <w:p w14:paraId="6BF979CA" w14:textId="77777777" w:rsidR="00B42E60" w:rsidRPr="009D3376" w:rsidRDefault="00000000">
            <w:pPr>
              <w:pStyle w:val="TableParagraph"/>
              <w:ind w:left="84"/>
              <w:jc w:val="center"/>
              <w:rPr>
                <w:rFonts w:ascii="游ゴシック Light" w:eastAsia="游ゴシック Light" w:hAnsi="游ゴシック Light"/>
                <w:sz w:val="16"/>
              </w:rPr>
            </w:pPr>
            <w:r w:rsidRPr="009D3376">
              <w:rPr>
                <w:rFonts w:ascii="游ゴシック Light" w:eastAsia="游ゴシック Light" w:hAnsi="游ゴシック Light"/>
                <w:color w:val="231F20"/>
                <w:spacing w:val="-8"/>
                <w:sz w:val="16"/>
              </w:rPr>
              <w:t>→ステップ5</w:t>
            </w:r>
            <w:r w:rsidRPr="009D3376">
              <w:rPr>
                <w:rFonts w:ascii="游ゴシック Light" w:eastAsia="游ゴシック Light" w:hAnsi="游ゴシック Light"/>
                <w:color w:val="231F20"/>
                <w:spacing w:val="-9"/>
                <w:sz w:val="16"/>
              </w:rPr>
              <w:t>を参照</w:t>
            </w:r>
          </w:p>
        </w:tc>
      </w:tr>
    </w:tbl>
    <w:p w14:paraId="6BF979CC" w14:textId="0679FF1D" w:rsidR="00B42E60" w:rsidRPr="00D9737E" w:rsidRDefault="00B42E60" w:rsidP="00DA7030">
      <w:pPr>
        <w:spacing w:before="700"/>
        <w:ind w:right="54"/>
        <w:rPr>
          <w:rFonts w:ascii="Courier New" w:eastAsiaTheme="minorEastAsia" w:hint="eastAsia"/>
          <w:sz w:val="20"/>
        </w:rPr>
      </w:pPr>
    </w:p>
    <w:sectPr w:rsidR="00B42E60" w:rsidRPr="00D9737E">
      <w:type w:val="continuous"/>
      <w:pgSz w:w="11910" w:h="16840"/>
      <w:pgMar w:top="900" w:right="100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BA71" w14:textId="77777777" w:rsidR="00D43857" w:rsidRDefault="00D43857" w:rsidP="00681C05">
      <w:r>
        <w:separator/>
      </w:r>
    </w:p>
  </w:endnote>
  <w:endnote w:type="continuationSeparator" w:id="0">
    <w:p w14:paraId="6695EDB9" w14:textId="77777777" w:rsidR="00D43857" w:rsidRDefault="00D43857" w:rsidP="0068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游ゴシック"/>
    <w:charset w:val="8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ECB2" w14:textId="77777777" w:rsidR="00D43857" w:rsidRDefault="00D43857" w:rsidP="00681C05">
      <w:r>
        <w:separator/>
      </w:r>
    </w:p>
  </w:footnote>
  <w:footnote w:type="continuationSeparator" w:id="0">
    <w:p w14:paraId="1A292CE6" w14:textId="77777777" w:rsidR="00D43857" w:rsidRDefault="00D43857" w:rsidP="00681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E60"/>
    <w:rsid w:val="00052769"/>
    <w:rsid w:val="0026768A"/>
    <w:rsid w:val="00681C05"/>
    <w:rsid w:val="006B5845"/>
    <w:rsid w:val="006C68F5"/>
    <w:rsid w:val="00720DAA"/>
    <w:rsid w:val="009D3376"/>
    <w:rsid w:val="00AE64FB"/>
    <w:rsid w:val="00B42E60"/>
    <w:rsid w:val="00D43857"/>
    <w:rsid w:val="00D9737E"/>
    <w:rsid w:val="00DA7030"/>
    <w:rsid w:val="00EA775A"/>
    <w:rsid w:val="00F2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7973"/>
  <w15:docId w15:val="{CA7CC8C4-ACB6-4F04-BCB9-470E593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145"/>
      <w:ind w:left="54" w:right="1"/>
      <w:jc w:val="center"/>
    </w:pPr>
    <w:rPr>
      <w:rFonts w:ascii="Adobe Fan Heiti Std B" w:eastAsia="Adobe Fan Heiti Std B" w:hAnsi="Adobe Fan Heiti Std B" w:cs="Adobe Fan Heiti Std B"/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81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1C05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681C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1C05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名南経営コンサルティングネットワーク</cp:lastModifiedBy>
  <cp:revision>12</cp:revision>
  <dcterms:created xsi:type="dcterms:W3CDTF">2025-05-09T05:02:00Z</dcterms:created>
  <dcterms:modified xsi:type="dcterms:W3CDTF">2025-05-14T08:25:00Z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Adobe PDF Library 18.0</vt:lpwstr>
  </property>
</Properties>
</file>